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D" w:rsidRDefault="00D77E5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77E5D" w:rsidRDefault="00962CD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77E5D" w:rsidRDefault="00962CD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407753">
        <w:rPr>
          <w:rFonts w:ascii="仿宋_GB2312" w:eastAsia="仿宋_GB2312" w:cs="仿宋_GB2312" w:hint="eastAsia"/>
          <w:sz w:val="32"/>
          <w:szCs w:val="32"/>
        </w:rPr>
        <w:t>136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77E5D" w:rsidRDefault="009842E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842EC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D77E5D" w:rsidRDefault="00962CD3" w:rsidP="003A06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3B5430" w:rsidRDefault="00962CD3" w:rsidP="003A06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关于举办《医院感染管理新标准</w:t>
      </w:r>
      <w:r w:rsidR="003B5430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</w:p>
    <w:p w:rsidR="00D77E5D" w:rsidRDefault="00962CD3" w:rsidP="003A06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3B5430" w:rsidRDefault="003B5430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D77E5D" w:rsidRDefault="00962CD3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D77E5D" w:rsidRDefault="00962CD3" w:rsidP="003B5430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为进一步规范“后疫情时代”医院感染预防与控制管理要求，全面提升我市各医疗机构院感管理水平，扎实推进落实院感防控各项新标准、新要求，根据2023年国家卫健委下发的《医院隔离技术标准》、《医院感染监测标准》及《碳青霉烯类耐药肠杆菌预防与控制标准》要求，结合我市院感管理水平及多重耐药菌管理现状，市院感质控中心将于2023年12月1日在东坡国际大酒店举办“医院感染管理新标准</w:t>
      </w:r>
      <w:r w:rsidR="003B543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学术会议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”。届时将邀请省、市院感管理专家现场授课。现将有关事宜通知如下：</w:t>
      </w:r>
    </w:p>
    <w:p w:rsidR="00D77E5D" w:rsidRDefault="00962CD3" w:rsidP="003B5430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2023年12月1日全天，具体日程安排见附件。</w:t>
      </w:r>
    </w:p>
    <w:p w:rsidR="00D77E5D" w:rsidRDefault="00962CD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二、会议地点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东坡国际大酒店多功能厅</w:t>
      </w:r>
      <w:r w:rsidR="003B5430">
        <w:rPr>
          <w:rFonts w:ascii="仿宋_GB2312" w:eastAsia="仿宋_GB2312" w:hint="eastAsia"/>
          <w:sz w:val="32"/>
          <w:szCs w:val="32"/>
        </w:rPr>
        <w:t>。</w:t>
      </w:r>
    </w:p>
    <w:p w:rsidR="00D77E5D" w:rsidRDefault="00962CD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三、参会对象</w:t>
      </w:r>
    </w:p>
    <w:p w:rsidR="00D77E5D" w:rsidRDefault="00962CD3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医院感染管理及相关工作人员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四、培训内容</w:t>
      </w:r>
    </w:p>
    <w:p w:rsidR="00D77E5D" w:rsidRPr="003B5430" w:rsidRDefault="00962CD3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 w:rsidRPr="003B5430">
        <w:rPr>
          <w:rFonts w:ascii="楷体_GB2312" w:eastAsia="楷体_GB2312" w:hint="eastAsia"/>
          <w:sz w:val="32"/>
          <w:szCs w:val="32"/>
        </w:rPr>
        <w:t xml:space="preserve">《医院隔离技术标准》解读  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宋锦平 眉山市人民医院副院长</w:t>
      </w:r>
      <w:r w:rsidR="003B5430">
        <w:rPr>
          <w:rFonts w:ascii="仿宋_GB2312" w:eastAsia="仿宋_GB2312" w:hint="eastAsia"/>
          <w:sz w:val="32"/>
          <w:szCs w:val="32"/>
        </w:rPr>
        <w:t>；</w:t>
      </w:r>
    </w:p>
    <w:p w:rsidR="00D77E5D" w:rsidRPr="003B5430" w:rsidRDefault="00962CD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B5430">
        <w:rPr>
          <w:rFonts w:ascii="楷体_GB2312" w:eastAsia="楷体_GB2312" w:hint="eastAsia"/>
          <w:sz w:val="32"/>
          <w:szCs w:val="32"/>
        </w:rPr>
        <w:t xml:space="preserve">（二）《医院感染监测标准》解读  </w:t>
      </w:r>
    </w:p>
    <w:p w:rsidR="00D77E5D" w:rsidRDefault="00962CD3" w:rsidP="00407753">
      <w:pPr>
        <w:spacing w:line="600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辛咏梅  眉山市中医医院院感科科长</w:t>
      </w:r>
      <w:r w:rsidR="003B5430">
        <w:rPr>
          <w:rFonts w:ascii="仿宋_GB2312" w:eastAsia="仿宋_GB2312" w:hint="eastAsia"/>
          <w:sz w:val="32"/>
          <w:szCs w:val="32"/>
        </w:rPr>
        <w:t>；</w:t>
      </w:r>
    </w:p>
    <w:p w:rsidR="00D77E5D" w:rsidRPr="003B5430" w:rsidRDefault="00962CD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B5430">
        <w:rPr>
          <w:rFonts w:ascii="楷体_GB2312" w:eastAsia="楷体_GB2312" w:hint="eastAsia"/>
          <w:sz w:val="32"/>
          <w:szCs w:val="32"/>
        </w:rPr>
        <w:t xml:space="preserve">（三）《碳青霉烯类耐药肠杆菌预防与控制标准》解读  </w:t>
      </w:r>
    </w:p>
    <w:p w:rsidR="00D77E5D" w:rsidRDefault="00962CD3" w:rsidP="00407753">
      <w:pPr>
        <w:spacing w:line="600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陈开容  眉山市人民医院院感科科长</w:t>
      </w:r>
      <w:r w:rsidR="003B5430">
        <w:rPr>
          <w:rFonts w:ascii="仿宋_GB2312" w:eastAsia="仿宋_GB2312" w:hint="eastAsia"/>
          <w:sz w:val="32"/>
          <w:szCs w:val="32"/>
        </w:rPr>
        <w:t>。</w:t>
      </w:r>
    </w:p>
    <w:p w:rsidR="00D77E5D" w:rsidRDefault="00962CD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五、会议费用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培训费及餐费由市院感质控中心承担，住宿费、交通费回原单位报销。</w:t>
      </w:r>
    </w:p>
    <w:p w:rsidR="00D77E5D" w:rsidRDefault="00962CD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六、报名方式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请参会人员于2023年11月15日前扫描报名二维码提交报名信息。</w:t>
      </w:r>
    </w:p>
    <w:p w:rsidR="00D77E5D" w:rsidRDefault="00962CD3">
      <w:pPr>
        <w:spacing w:line="60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6350</wp:posOffset>
            </wp:positionV>
            <wp:extent cx="1428750" cy="1428750"/>
            <wp:effectExtent l="0" t="0" r="0" b="0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E5D" w:rsidRDefault="00D77E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7E5D" w:rsidRDefault="00D77E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报名二维码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联系人：陈开容、唐思明</w:t>
      </w:r>
    </w:p>
    <w:p w:rsidR="00D77E5D" w:rsidRDefault="00962C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联系电话：15282361723  13540968482</w:t>
      </w:r>
    </w:p>
    <w:p w:rsidR="00D77E5D" w:rsidRDefault="00D77E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7E5D" w:rsidRDefault="00962CD3">
      <w:pPr>
        <w:spacing w:line="600" w:lineRule="exact"/>
        <w:ind w:firstLineChars="200" w:firstLine="640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附件：《医院感染管理新标准</w:t>
      </w:r>
      <w:r w:rsidR="003B5430">
        <w:rPr>
          <w:rFonts w:ascii="仿宋_GB2312" w:eastAsia="仿宋_GB2312" w:hint="eastAsia"/>
          <w:sz w:val="32"/>
          <w:szCs w:val="32"/>
        </w:rPr>
        <w:t>学术会议</w:t>
      </w:r>
      <w:r>
        <w:rPr>
          <w:rFonts w:ascii="仿宋_GB2312" w:eastAsia="仿宋_GB2312" w:hint="eastAsia"/>
          <w:sz w:val="32"/>
          <w:szCs w:val="32"/>
        </w:rPr>
        <w:t>》日程表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</w:t>
      </w:r>
    </w:p>
    <w:p w:rsidR="00D77E5D" w:rsidRDefault="00D77E5D">
      <w:pPr>
        <w:jc w:val="center"/>
        <w:rPr>
          <w:sz w:val="28"/>
          <w:szCs w:val="28"/>
        </w:rPr>
      </w:pPr>
    </w:p>
    <w:p w:rsidR="00D77E5D" w:rsidRDefault="00962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B5430" w:rsidRPr="003B5430" w:rsidRDefault="00962CD3" w:rsidP="003B54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5430">
        <w:rPr>
          <w:rFonts w:ascii="仿宋_GB2312" w:eastAsia="仿宋_GB2312" w:hint="eastAsia"/>
          <w:sz w:val="32"/>
          <w:szCs w:val="32"/>
        </w:rPr>
        <w:t xml:space="preserve">        </w:t>
      </w:r>
      <w:r w:rsidR="003B5430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3B5430" w:rsidRPr="003B5430">
        <w:rPr>
          <w:rFonts w:ascii="仿宋_GB2312" w:eastAsia="仿宋_GB2312" w:hint="eastAsia"/>
          <w:sz w:val="32"/>
          <w:szCs w:val="32"/>
        </w:rPr>
        <w:t>眉山市医学会</w:t>
      </w:r>
    </w:p>
    <w:p w:rsidR="00D77E5D" w:rsidRPr="003B5430" w:rsidRDefault="003B5430" w:rsidP="003B5430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3B5430">
        <w:rPr>
          <w:rFonts w:ascii="仿宋_GB2312" w:eastAsia="仿宋_GB2312" w:hint="eastAsia"/>
          <w:sz w:val="32"/>
          <w:szCs w:val="32"/>
        </w:rPr>
        <w:t>2023年11月6日</w:t>
      </w:r>
      <w:r w:rsidR="00962CD3" w:rsidRPr="003B5430">
        <w:rPr>
          <w:rFonts w:ascii="仿宋_GB2312" w:eastAsia="仿宋_GB2312" w:hint="eastAsia"/>
          <w:sz w:val="32"/>
          <w:szCs w:val="32"/>
        </w:rPr>
        <w:t xml:space="preserve">                   </w:t>
      </w:r>
      <w:bookmarkStart w:id="0" w:name="_GoBack"/>
      <w:bookmarkEnd w:id="0"/>
    </w:p>
    <w:p w:rsidR="00D77E5D" w:rsidRDefault="00D77E5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77E5D" w:rsidRDefault="00D77E5D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D77E5D" w:rsidRDefault="00D77E5D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D77E5D" w:rsidRDefault="00D77E5D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D77E5D" w:rsidRDefault="00D77E5D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D77E5D" w:rsidRDefault="00D77E5D">
      <w:pPr>
        <w:pStyle w:val="BodyText"/>
      </w:pPr>
    </w:p>
    <w:p w:rsidR="00D77E5D" w:rsidRDefault="00D77E5D">
      <w:pPr>
        <w:pStyle w:val="BodyText"/>
      </w:pPr>
    </w:p>
    <w:p w:rsidR="00D77E5D" w:rsidRDefault="00D77E5D"/>
    <w:p w:rsidR="00D77E5D" w:rsidRDefault="00D77E5D">
      <w:pPr>
        <w:pStyle w:val="BodyText"/>
      </w:pPr>
    </w:p>
    <w:p w:rsidR="00D77E5D" w:rsidRDefault="00D77E5D"/>
    <w:p w:rsidR="00D77E5D" w:rsidRDefault="00D77E5D">
      <w:pPr>
        <w:pStyle w:val="BodyText"/>
      </w:pPr>
    </w:p>
    <w:p w:rsidR="00D77E5D" w:rsidRDefault="00D77E5D"/>
    <w:p w:rsidR="00D77E5D" w:rsidRDefault="00D77E5D"/>
    <w:p w:rsidR="00D77E5D" w:rsidRDefault="00D77E5D"/>
    <w:p w:rsidR="003B5430" w:rsidRDefault="003B5430"/>
    <w:p w:rsidR="003B5430" w:rsidRDefault="003B5430"/>
    <w:p w:rsidR="003B5430" w:rsidRDefault="003B5430"/>
    <w:p w:rsidR="003B5430" w:rsidRDefault="003B5430"/>
    <w:p w:rsidR="003B5430" w:rsidRDefault="003B5430">
      <w:pPr>
        <w:rPr>
          <w:rFonts w:hint="eastAsia"/>
        </w:rPr>
      </w:pPr>
    </w:p>
    <w:p w:rsidR="00AA3132" w:rsidRDefault="00AA3132">
      <w:pPr>
        <w:rPr>
          <w:rFonts w:hint="eastAsia"/>
        </w:rPr>
      </w:pPr>
    </w:p>
    <w:p w:rsidR="00AA3132" w:rsidRDefault="00AA3132"/>
    <w:p w:rsidR="003B5430" w:rsidRDefault="003B5430"/>
    <w:p w:rsidR="00D77E5D" w:rsidRDefault="00962CD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 w:rsidR="003B5430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</w:t>
      </w:r>
      <w:r w:rsidR="003B5430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月6日印发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D77E5D" w:rsidRPr="003B5430" w:rsidRDefault="00962CD3">
      <w:pPr>
        <w:rPr>
          <w:rFonts w:ascii="黑体" w:eastAsia="黑体" w:hAnsi="黑体"/>
          <w:sz w:val="32"/>
          <w:szCs w:val="32"/>
        </w:rPr>
      </w:pPr>
      <w:r w:rsidRPr="003B543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77E5D" w:rsidRDefault="00962CD3">
      <w:pPr>
        <w:jc w:val="center"/>
        <w:rPr>
          <w:rFonts w:ascii="方正小标宋简体" w:eastAsia="方正小标宋简体" w:hAnsi="宋体"/>
          <w:sz w:val="40"/>
          <w:szCs w:val="22"/>
        </w:rPr>
      </w:pPr>
      <w:r>
        <w:rPr>
          <w:rFonts w:ascii="方正小标宋简体" w:eastAsia="方正小标宋简体" w:hAnsi="宋体" w:hint="eastAsia"/>
          <w:sz w:val="40"/>
          <w:szCs w:val="22"/>
        </w:rPr>
        <w:t>《医院感染管理新标准</w:t>
      </w:r>
      <w:r w:rsidR="003B5430">
        <w:rPr>
          <w:rFonts w:ascii="方正小标宋简体" w:eastAsia="方正小标宋简体" w:hAnsi="宋体" w:hint="eastAsia"/>
          <w:sz w:val="40"/>
          <w:szCs w:val="22"/>
        </w:rPr>
        <w:t>学术会议</w:t>
      </w:r>
      <w:r>
        <w:rPr>
          <w:rFonts w:ascii="方正小标宋简体" w:eastAsia="方正小标宋简体" w:hAnsi="宋体" w:hint="eastAsia"/>
          <w:sz w:val="40"/>
          <w:szCs w:val="22"/>
        </w:rPr>
        <w:t>》日程表</w:t>
      </w:r>
    </w:p>
    <w:p w:rsidR="00D77E5D" w:rsidRDefault="00D77E5D">
      <w:pPr>
        <w:spacing w:line="600" w:lineRule="exact"/>
        <w:rPr>
          <w:rFonts w:ascii="方正小标宋简体" w:eastAsia="方正小标宋简体" w:hAnsi="宋体"/>
          <w:sz w:val="40"/>
          <w:szCs w:val="22"/>
        </w:rPr>
      </w:pPr>
    </w:p>
    <w:tbl>
      <w:tblPr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6"/>
        <w:gridCol w:w="1721"/>
        <w:gridCol w:w="3674"/>
        <w:gridCol w:w="1418"/>
        <w:gridCol w:w="1378"/>
      </w:tblGrid>
      <w:tr w:rsidR="00D77E5D">
        <w:trPr>
          <w:trHeight w:val="747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0"/>
              </w:rPr>
              <w:t>日  期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0"/>
              </w:rPr>
              <w:t>时  间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0"/>
              </w:rPr>
              <w:t>内      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0"/>
              </w:rPr>
              <w:t>授课人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黑体" w:eastAsia="黑体" w:hAnsi="黑体"/>
                <w:b/>
                <w:bCs/>
                <w:sz w:val="28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0"/>
              </w:rPr>
              <w:t>主持人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12月1日上午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08:30-09:00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报  到 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09:00-09:10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3B5430" w:rsidP="003B543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眉山市</w:t>
            </w:r>
            <w:r w:rsidR="00962CD3">
              <w:rPr>
                <w:rFonts w:ascii="仿宋_GB2312" w:eastAsia="仿宋_GB2312" w:hint="eastAsia"/>
                <w:sz w:val="24"/>
              </w:rPr>
              <w:t>医学会</w:t>
            </w:r>
            <w:r>
              <w:rPr>
                <w:rFonts w:ascii="仿宋_GB2312" w:eastAsia="仿宋_GB2312" w:hint="eastAsia"/>
                <w:sz w:val="24"/>
              </w:rPr>
              <w:t>会长</w:t>
            </w:r>
            <w:r w:rsidR="00962CD3">
              <w:rPr>
                <w:rFonts w:ascii="仿宋_GB2312" w:eastAsia="仿宋_GB2312" w:hint="eastAsia"/>
                <w:sz w:val="24"/>
              </w:rPr>
              <w:t xml:space="preserve">赵平致辞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陈开容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09:10-09:20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眉山市人民医院副院长宋锦平致辞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陈开容</w:t>
            </w:r>
          </w:p>
        </w:tc>
      </w:tr>
      <w:tr w:rsidR="00D77E5D">
        <w:trPr>
          <w:trHeight w:val="83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09:20-10:00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《医院隔离技术标准》解读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宋锦平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汪丽红</w:t>
            </w:r>
          </w:p>
        </w:tc>
      </w:tr>
      <w:tr w:rsidR="00D77E5D">
        <w:trPr>
          <w:trHeight w:val="83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10:00-10:10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中场休息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10:10-10:50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《医院感染监测标准》解读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辛咏梅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曹原玲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10:50-11:30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《碳青霉烯类耐药肠杆菌预防与控制标准》解读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陈开容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夏雪容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中午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12:00-13:30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午餐、休息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12月1日</w:t>
            </w:r>
          </w:p>
          <w:p w:rsidR="00D77E5D" w:rsidRDefault="00962C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下午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13:30-15:00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77E5D" w:rsidRDefault="00962CD3" w:rsidP="003B543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眉山市院感质控中心专家</w:t>
            </w:r>
            <w:r w:rsidR="003B5430">
              <w:rPr>
                <w:rFonts w:ascii="仿宋_GB2312" w:eastAsia="仿宋_GB2312" w:hint="eastAsia"/>
                <w:sz w:val="24"/>
              </w:rPr>
              <w:t>暨市医学会医院感染管理</w:t>
            </w:r>
            <w:r>
              <w:rPr>
                <w:rFonts w:ascii="仿宋_GB2312" w:eastAsia="仿宋_GB2312" w:hint="eastAsia"/>
                <w:sz w:val="24"/>
              </w:rPr>
              <w:t>专委会常务委员</w:t>
            </w:r>
            <w:r w:rsidR="003B5430">
              <w:rPr>
                <w:rFonts w:ascii="仿宋_GB2312" w:eastAsia="仿宋_GB2312" w:hint="eastAsia"/>
                <w:sz w:val="24"/>
              </w:rPr>
              <w:t>会议</w:t>
            </w:r>
          </w:p>
        </w:tc>
      </w:tr>
      <w:tr w:rsidR="00D77E5D">
        <w:trPr>
          <w:trHeight w:val="695"/>
          <w:jc w:val="center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7E5D" w:rsidRDefault="00D77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7E5D" w:rsidRDefault="00962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5D" w:rsidRDefault="00962C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撤离</w:t>
            </w:r>
          </w:p>
        </w:tc>
      </w:tr>
    </w:tbl>
    <w:p w:rsidR="00D77E5D" w:rsidRDefault="00D77E5D">
      <w:pPr>
        <w:tabs>
          <w:tab w:val="left" w:pos="807"/>
        </w:tabs>
        <w:jc w:val="left"/>
      </w:pPr>
    </w:p>
    <w:sectPr w:rsidR="00D77E5D" w:rsidSect="00D77E5D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7B" w:rsidRDefault="003B7C7B" w:rsidP="00D77E5D">
      <w:r>
        <w:separator/>
      </w:r>
    </w:p>
  </w:endnote>
  <w:endnote w:type="continuationSeparator" w:id="0">
    <w:p w:rsidR="003B7C7B" w:rsidRDefault="003B7C7B" w:rsidP="00D7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5D" w:rsidRDefault="009842EC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962CD3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AA3132">
      <w:rPr>
        <w:rStyle w:val="aa"/>
        <w:rFonts w:ascii="仿宋_GB2312" w:eastAsia="仿宋_GB2312" w:cs="仿宋_GB2312"/>
        <w:noProof/>
        <w:sz w:val="32"/>
        <w:szCs w:val="32"/>
      </w:rPr>
      <w:t>- 2 -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D77E5D" w:rsidRDefault="00D77E5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7B" w:rsidRDefault="003B7C7B" w:rsidP="00D77E5D">
      <w:r>
        <w:separator/>
      </w:r>
    </w:p>
  </w:footnote>
  <w:footnote w:type="continuationSeparator" w:id="0">
    <w:p w:rsidR="003B7C7B" w:rsidRDefault="003B7C7B" w:rsidP="00D7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5D" w:rsidRDefault="00D77E5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5D" w:rsidRDefault="00D77E5D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61DAA8"/>
    <w:multiLevelType w:val="singleLevel"/>
    <w:tmpl w:val="AE61DAA8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Tk3N2FkZTdkMjc0ZjNiMWI0ZDcyZThjY2JkNjk4NjAifQ=="/>
  </w:docVars>
  <w:rsids>
    <w:rsidRoot w:val="003827A9"/>
    <w:rsid w:val="000C25B2"/>
    <w:rsid w:val="00133D39"/>
    <w:rsid w:val="00152071"/>
    <w:rsid w:val="001E4FB0"/>
    <w:rsid w:val="003827A9"/>
    <w:rsid w:val="003A062B"/>
    <w:rsid w:val="003B5430"/>
    <w:rsid w:val="003B7C7B"/>
    <w:rsid w:val="00407753"/>
    <w:rsid w:val="006B1DF5"/>
    <w:rsid w:val="007E43D7"/>
    <w:rsid w:val="008175AE"/>
    <w:rsid w:val="008D338A"/>
    <w:rsid w:val="00962CD3"/>
    <w:rsid w:val="00973124"/>
    <w:rsid w:val="009831B6"/>
    <w:rsid w:val="009842EC"/>
    <w:rsid w:val="009A206D"/>
    <w:rsid w:val="009B535F"/>
    <w:rsid w:val="009F2509"/>
    <w:rsid w:val="00AA3132"/>
    <w:rsid w:val="00AC31FE"/>
    <w:rsid w:val="00AD10E6"/>
    <w:rsid w:val="00B55E8B"/>
    <w:rsid w:val="00B64922"/>
    <w:rsid w:val="00C2211F"/>
    <w:rsid w:val="00CD1F99"/>
    <w:rsid w:val="00D0235B"/>
    <w:rsid w:val="00D05044"/>
    <w:rsid w:val="00D77E5D"/>
    <w:rsid w:val="00F2630F"/>
    <w:rsid w:val="00F36F6B"/>
    <w:rsid w:val="1D85546D"/>
    <w:rsid w:val="1E3E73CA"/>
    <w:rsid w:val="20FD531A"/>
    <w:rsid w:val="22A46395"/>
    <w:rsid w:val="2AEF3F25"/>
    <w:rsid w:val="2CFE66A2"/>
    <w:rsid w:val="3CB43221"/>
    <w:rsid w:val="40227045"/>
    <w:rsid w:val="4044666A"/>
    <w:rsid w:val="49563549"/>
    <w:rsid w:val="4B7C7600"/>
    <w:rsid w:val="4E45017D"/>
    <w:rsid w:val="52FD5971"/>
    <w:rsid w:val="534529CD"/>
    <w:rsid w:val="588673C8"/>
    <w:rsid w:val="59613991"/>
    <w:rsid w:val="5A68181B"/>
    <w:rsid w:val="5BD963A8"/>
    <w:rsid w:val="5D177188"/>
    <w:rsid w:val="5FE84E0C"/>
    <w:rsid w:val="6205554B"/>
    <w:rsid w:val="67780823"/>
    <w:rsid w:val="690E58E3"/>
    <w:rsid w:val="69C4182C"/>
    <w:rsid w:val="6B633598"/>
    <w:rsid w:val="6DD662A4"/>
    <w:rsid w:val="6E9F2B3A"/>
    <w:rsid w:val="71A212BE"/>
    <w:rsid w:val="763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E5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D77E5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D77E5D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D77E5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77E5D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D77E5D"/>
    <w:rPr>
      <w:rFonts w:ascii="宋体" w:cs="宋体"/>
    </w:rPr>
  </w:style>
  <w:style w:type="paragraph" w:styleId="a5">
    <w:name w:val="Date"/>
    <w:basedOn w:val="a"/>
    <w:next w:val="a"/>
    <w:qFormat/>
    <w:rsid w:val="00D77E5D"/>
    <w:pPr>
      <w:ind w:leftChars="2500" w:left="2500"/>
    </w:pPr>
  </w:style>
  <w:style w:type="paragraph" w:styleId="a6">
    <w:name w:val="footer"/>
    <w:basedOn w:val="a"/>
    <w:qFormat/>
    <w:rsid w:val="00D7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7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D77E5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D77E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D77E5D"/>
  </w:style>
  <w:style w:type="character" w:styleId="ab">
    <w:name w:val="Hyperlink"/>
    <w:basedOn w:val="a0"/>
    <w:qFormat/>
    <w:rsid w:val="00D77E5D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D77E5D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D77E5D"/>
  </w:style>
  <w:style w:type="paragraph" w:customStyle="1" w:styleId="Bodytext2">
    <w:name w:val="Body text|2"/>
    <w:basedOn w:val="a"/>
    <w:qFormat/>
    <w:rsid w:val="00D77E5D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D77E5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D77E5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D77E5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D77E5D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77E5D"/>
    <w:rPr>
      <w:rFonts w:ascii="微软雅黑" w:eastAsia="微软雅黑" w:cs="微软雅黑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185</Words>
  <Characters>1059</Characters>
  <Application>Microsoft Office Word</Application>
  <DocSecurity>0</DocSecurity>
  <Lines>8</Lines>
  <Paragraphs>2</Paragraphs>
  <ScaleCrop>false</ScaleCrop>
  <Company>user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